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line="276"/>
      </w:pPr>
      <w:r>
        <w:rPr>
          <w:rFonts w:ascii="Calibri" w:cs="Calibri" w:eastAsia="Calibri" w:hAnsi="Calibri"/>
          <w:b/>
          <w:bCs/>
          <w:i w:val="false"/>
          <w:iCs w:val="false"/>
          <w:color w:val="C45C26"/>
          <w:sz w:val="16"/>
          <w:szCs w:val="16"/>
        </w:rPr>
        <w:t xml:space="preserve">FOR HR / GLOBAL MOBILITY  ·  INTERNAL DISCUSSION DRAFT</w:t>
      </w:r>
    </w:p>
    <w:p>
      <w:pPr>
        <w:spacing w:after="40" w:before="40"/>
      </w:pPr>
      <w:r>
        <w:rPr>
          <w:rFonts w:ascii="Yu Gothic" w:cs="Yu Gothic" w:eastAsia="Yu Gothic" w:hAnsi="Yu Gothic"/>
          <w:b/>
          <w:bCs/>
          <w:color w:val="1B3A4B"/>
          <w:sz w:val="44"/>
          <w:szCs w:val="44"/>
        </w:rPr>
        <w:t xml:space="preserve">借上社宅制度</w:t>
      </w:r>
    </w:p>
    <w:p>
      <w:pPr>
        <w:spacing w:after="80" w:before="0"/>
      </w:pPr>
      <w:r>
        <w:rPr>
          <w:rFonts w:ascii="Yu Gothic" w:cs="Yu Gothic" w:eastAsia="Yu Gothic" w:hAnsi="Yu Gothic"/>
          <w:b/>
          <w:bCs/>
          <w:color w:val="1B3A4B"/>
          <w:sz w:val="32"/>
          <w:szCs w:val="32"/>
        </w:rPr>
        <w:t xml:space="preserve">意思決定メモ（日英）</w:t>
      </w:r>
    </w:p>
    <w:p>
      <w:pPr>
        <w:spacing w:after="200" w:before="0" w:line="276"/>
      </w:pPr>
      <w:r>
        <w:rPr>
          <w:rFonts w:ascii="Calibri" w:cs="Calibri" w:eastAsia="Calibri" w:hAnsi="Calibri"/>
          <w:b w:val="false"/>
          <w:bCs w:val="false"/>
          <w:i/>
          <w:iCs/>
          <w:color w:val="5C6570"/>
          <w:sz w:val="22"/>
          <w:szCs w:val="22"/>
        </w:rPr>
        <w:t xml:space="preserve">Company-Leased Housing Policy (社宅規程) — Decision Memo (JA / EN)</w:t>
      </w:r>
    </w:p>
    <w:p>
      <w:pPr>
        <w:spacing w:after="80" w:before="0" w:line="276"/>
      </w:pPr>
      <w:r>
        <w:rPr>
          <w:rFonts w:ascii="Yu Gothic" w:cs="Yu Gothic" w:eastAsia="Yu Gothic" w:hAnsi="Yu Gothic"/>
          <w:b/>
          <w:bCs/>
          <w:i w:val="false"/>
          <w:iCs w:val="false"/>
          <w:color w:val="2C2C2C"/>
          <w:sz w:val="18"/>
          <w:szCs w:val="18"/>
        </w:rPr>
        <w:t xml:space="preserve">対象読者 / Audience  </w:t>
      </w:r>
      <w:r>
        <w:rPr>
          <w:rFonts w:ascii="Yu Gothic" w:cs="Yu Gothic" w:eastAsia="Yu Gothic" w:hAnsi="Yu Gothic"/>
          <w:b w:val="false"/>
          <w:bCs w:val="false"/>
          <w:i w:val="false"/>
          <w:iCs w:val="false"/>
          <w:color w:val="2C2C2C"/>
          <w:sz w:val="18"/>
          <w:szCs w:val="18"/>
        </w:rPr>
        <w:t xml:space="preserve">日本法人の人事・総務、本社 Global Mobility、赴任者本人</w:t>
      </w:r>
    </w:p>
    <w:p>
      <w:pPr>
        <w:spacing w:after="80" w:before="0" w:line="276"/>
      </w:pPr>
      <w:r>
        <w:rPr>
          <w:rFonts w:ascii="Yu Gothic" w:cs="Yu Gothic" w:eastAsia="Yu Gothic" w:hAnsi="Yu Gothic"/>
          <w:b/>
          <w:bCs/>
          <w:i w:val="false"/>
          <w:iCs w:val="false"/>
          <w:color w:val="2C2C2C"/>
          <w:sz w:val="18"/>
          <w:szCs w:val="18"/>
        </w:rPr>
        <w:t xml:space="preserve">目的 / Purpose  </w:t>
      </w:r>
      <w:r>
        <w:rPr>
          <w:rFonts w:ascii="Yu Gothic" w:cs="Yu Gothic" w:eastAsia="Yu Gothic" w:hAnsi="Yu Gothic"/>
          <w:b w:val="false"/>
          <w:bCs w:val="false"/>
          <w:i w:val="false"/>
          <w:iCs w:val="false"/>
          <w:color w:val="2C2C2C"/>
          <w:sz w:val="18"/>
          <w:szCs w:val="18"/>
        </w:rPr>
        <w:t xml:space="preserve">完成した就業規則を配るのではなく、規程を書く前に決めるべき項目を選択肢付きで固定する。</w:t>
      </w:r>
    </w:p>
    <w:p>
      <w:pPr>
        <w:spacing w:after="220" w:before="0" w:line="276"/>
      </w:pPr>
      <w:r>
        <w:rPr>
          <w:rFonts w:ascii="Yu Gothic" w:cs="Yu Gothic" w:eastAsia="Yu Gothic" w:hAnsi="Yu Gothic"/>
          <w:b/>
          <w:bCs/>
          <w:i w:val="false"/>
          <w:iCs w:val="false"/>
          <w:color w:val="2C2C2C"/>
          <w:sz w:val="18"/>
          <w:szCs w:val="18"/>
        </w:rPr>
        <w:t xml:space="preserve">想定する家賃帯 / Intended band  </w:t>
      </w:r>
      <w:r>
        <w:rPr>
          <w:rFonts w:ascii="Yu Gothic" w:cs="Yu Gothic" w:eastAsia="Yu Gothic" w:hAnsi="Yu Gothic"/>
          <w:b w:val="false"/>
          <w:bCs w:val="false"/>
          <w:i w:val="false"/>
          <w:iCs w:val="false"/>
          <w:color w:val="2C2C2C"/>
          <w:sz w:val="18"/>
          <w:szCs w:val="18"/>
        </w:rPr>
        <w:t xml:space="preserve">東京の役員・専門職向け借上社宅（目安：月額家賃 30万円〜）。一般社員寮の雛形ではない。</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10204"/>
      </w:tblGrid>
      <w:tr>
        <w:tc>
          <w:tcPr>
            <w:tcW w:type="dxa" w:w="10204"/>
            <w:tcBorders>
              <w:top w:val="single" w:color="C45C26" w:sz="8"/>
              <w:left w:val="single" w:color="C45C26" w:sz="16"/>
              <w:bottom w:val="single" w:color="D6D1C7" w:sz="4"/>
              <w:right w:val="single" w:color="D6D1C7" w:sz="4"/>
            </w:tcBorders>
            <w:shd w:fill="F7F3EE" w:val="clear"/>
            <w:tcMar>
              <w:top w:type="dxa" w:w="100"/>
              <w:left w:type="dxa" w:w="140"/>
              <w:bottom w:type="dxa" w:w="100"/>
              <w:right w:type="dxa" w:w="140"/>
            </w:tcMar>
          </w:tcPr>
          <w:p>
            <w:pPr>
              <w:spacing w:after="40" w:before="0" w:line="276"/>
            </w:pPr>
            <w:r>
              <w:rPr>
                <w:rFonts w:ascii="Yu Gothic" w:cs="Yu Gothic" w:eastAsia="Yu Gothic" w:hAnsi="Yu Gothic"/>
                <w:b w:val="false"/>
                <w:bCs w:val="false"/>
                <w:i w:val="false"/>
                <w:iCs w:val="false"/>
                <w:color w:val="2C2C2C"/>
                <w:sz w:val="18"/>
                <w:szCs w:val="18"/>
              </w:rPr>
              <w:t xml:space="preserve">本資料は社内検討用の作業アウトラインです。法律・税務・労務の助言ではありません。従業員と役員で課税関係が異なり、豪華社宅の判定もあるため、採用前に顧問税理士および労務に必ず確認してください。金額・割合はプレースホルダです。</w:t>
            </w:r>
          </w:p>
          <w:p>
            <w:pPr>
              <w:spacing w:after="0" w:before="0" w:line="276"/>
            </w:pPr>
            <w:r>
              <w:rPr>
                <w:rFonts w:ascii="Calibri" w:cs="Calibri" w:eastAsia="Calibri" w:hAnsi="Calibri"/>
                <w:b w:val="false"/>
                <w:bCs w:val="false"/>
                <w:i/>
                <w:iCs/>
                <w:color w:val="5C6570"/>
                <w:sz w:val="17"/>
                <w:szCs w:val="17"/>
              </w:rPr>
              <w:t xml:space="preserve">This is a working outline for internal discussion, not legal, tax or labour advice. Employee and officer tax treatment differ in Japan. Confirm with the company’s tax adviser and labour counsel before adoption. Figures are placeholders only.</w:t>
            </w:r>
          </w:p>
        </w:tc>
      </w:tr>
    </w:tbl>
    <w:p>
      <w:pPr>
        <w:pStyle w:val="Heading1"/>
        <w:pBdr>
          <w:bottom w:val="single" w:color="C45C26" w:sz="12" w:space="6"/>
        </w:pBdr>
        <w:spacing w:after="60" w:before="360"/>
      </w:pPr>
      <w:r>
        <w:rPr>
          <w:rFonts w:ascii="Yu Gothic" w:cs="Yu Gothic" w:eastAsia="Yu Gothic" w:hAnsi="Yu Gothic"/>
          <w:b/>
          <w:bCs/>
          <w:color w:val="1B3A4B"/>
          <w:sz w:val="28"/>
          <w:szCs w:val="28"/>
        </w:rPr>
        <w:t xml:space="preserve">0. このメモの使い方</w:t>
      </w:r>
    </w:p>
    <w:p>
      <w:pPr>
        <w:spacing w:after="200" w:before="0"/>
      </w:pPr>
      <w:r>
        <w:rPr>
          <w:rFonts w:ascii="Calibri" w:cs="Calibri" w:eastAsia="Calibri" w:hAnsi="Calibri"/>
          <w:i/>
          <w:iCs/>
          <w:color w:val="5C6570"/>
          <w:sz w:val="18"/>
          <w:szCs w:val="18"/>
        </w:rPr>
        <w:t xml:space="preserve">0. How to use this memo</w:t>
      </w:r>
    </w:p>
    <w:p>
      <w:pPr>
        <w:spacing w:after="80" w:before="0" w:line="276"/>
      </w:pPr>
      <w:r>
        <w:rPr>
          <w:rFonts w:ascii="Yu Gothic" w:cs="Yu Gothic" w:eastAsia="Yu Gothic" w:hAnsi="Yu Gothic"/>
          <w:b w:val="false"/>
          <w:bCs w:val="false"/>
          <w:i w:val="false"/>
          <w:iCs w:val="false"/>
          <w:color w:val="2C2C2C"/>
          <w:sz w:val="20"/>
          <w:szCs w:val="20"/>
        </w:rPr>
        <w:t xml:space="preserve">各項目で ☐ を一つ選び、右列に自社の仮決めを書く。全部埋まってから条文に落とす。先に条文を書くと、例外処理で壊れます。</w:t>
      </w:r>
    </w:p>
    <w:p>
      <w:pPr>
        <w:spacing w:after="80" w:before="0" w:line="276"/>
      </w:pPr>
      <w:r>
        <w:rPr>
          <w:rFonts w:ascii="Calibri" w:cs="Calibri" w:eastAsia="Calibri" w:hAnsi="Calibri"/>
          <w:b w:val="false"/>
          <w:bCs w:val="false"/>
          <w:i/>
          <w:iCs/>
          <w:color w:val="5C6570"/>
          <w:sz w:val="18"/>
          <w:szCs w:val="18"/>
        </w:rPr>
        <w:t xml:space="preserve">Tick one option per item, then write the company’s provisional decision in the right-hand column. Draft articles only after the choices are filled. Writing the regulation first usually collapses under exceptions.</w:t>
      </w:r>
    </w:p>
    <w:p>
      <w:pPr>
        <w:pStyle w:val="Heading1"/>
        <w:pBdr>
          <w:bottom w:val="single" w:color="C45C26" w:sz="12" w:space="6"/>
        </w:pBdr>
        <w:spacing w:after="60" w:before="360"/>
      </w:pPr>
      <w:r>
        <w:rPr>
          <w:rFonts w:ascii="Yu Gothic" w:cs="Yu Gothic" w:eastAsia="Yu Gothic" w:hAnsi="Yu Gothic"/>
          <w:b/>
          <w:bCs/>
          <w:color w:val="1B3A4B"/>
          <w:sz w:val="28"/>
          <w:szCs w:val="28"/>
        </w:rPr>
        <w:t xml:space="preserve">1. 目次案（完成規程に落とすときの章立て）</w:t>
      </w:r>
    </w:p>
    <w:p>
      <w:pPr>
        <w:spacing w:after="200" w:before="0"/>
      </w:pPr>
      <w:r>
        <w:rPr>
          <w:rFonts w:ascii="Calibri" w:cs="Calibri" w:eastAsia="Calibri" w:hAnsi="Calibri"/>
          <w:i/>
          <w:iCs/>
          <w:color w:val="5C6570"/>
          <w:sz w:val="18"/>
          <w:szCs w:val="18"/>
        </w:rPr>
        <w:t xml:space="preserve">1. Suggested table of contents for the eventual policy</w:t>
      </w:r>
    </w:p>
    <w:p>
      <w:pPr>
        <w:spacing w:after="80" w:before="0" w:line="276"/>
      </w:pPr>
      <w:r>
        <w:rPr>
          <w:rFonts w:ascii="Yu Gothic" w:cs="Yu Gothic" w:eastAsia="Yu Gothic" w:hAnsi="Yu Gothic"/>
          <w:b w:val="false"/>
          <w:bCs w:val="false"/>
          <w:i w:val="false"/>
          <w:iCs w:val="false"/>
          <w:color w:val="2C2C2C"/>
          <w:sz w:val="20"/>
          <w:szCs w:val="20"/>
        </w:rPr>
        <w:t xml:space="preserve">Decision Memo で決めた内容を、次の章立てに写す想定です。日本語就業規則と英語 Employee Guide は同じ番号体系にします。</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章</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日本語タイトル</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English title</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目的・適用範囲</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Purpose and scope</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2</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定義</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Definitions</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3</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対象者・適用除外</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Eligibility and exclusions</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4</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契約名義と当事者</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Lease party and contracting model</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5</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物件基準（エリア・面積・設備）</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Property standards</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6</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費用上限と負担区分</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Caps and cost allocation</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7</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初期費用・更新・解約精算</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Upfront, renewal and exit costs</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8</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本人負担（社宅使用料）</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Occupant contribution</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9</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着任前後の短期滞在</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Temporary housing</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10</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家具家電・ペット・駐車場</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Furniture, pets, parking</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11</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申請・承認・変更</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Request, approval, changes</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12</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入居中の義務と禁止事項</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Occupant duties and prohibitions</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13</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更新・転居・帰任・途中解約</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Renewal, transfer, end of assignment</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14</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原状回復・損害賠償</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Restoration and damage</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15</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個人情報・窓口</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Data and points of contact</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16</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改廃</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Amendment and review</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別紙A</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等級別上限表</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Appendix A — grade / family caps</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別紙B</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費用負担マトリクス</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Appendix B — who pays what</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b/>
                <w:bCs/>
                <w:color w:val="2C2C2C"/>
                <w:sz w:val="17"/>
                <w:szCs w:val="17"/>
              </w:rPr>
              <w:t xml:space="preserve">別紙C</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7"/>
                <w:szCs w:val="17"/>
              </w:rPr>
              <w:t xml:space="preserve">申請・承認フロー</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7"/>
                <w:szCs w:val="17"/>
              </w:rPr>
              <w:t xml:space="preserve">Appendix C — process and SLA</w:t>
            </w:r>
          </w:p>
        </w:tc>
      </w:tr>
    </w:tbl>
    <w:p>
      <w:pPr>
        <w:spacing w:after="80" w:before="120" w:line="276"/>
      </w:pPr>
      <w:r>
        <w:rPr>
          <w:rFonts w:ascii="Yu Gothic" w:cs="Yu Gothic" w:eastAsia="Yu Gothic" w:hAnsi="Yu Gothic"/>
          <w:b w:val="false"/>
          <w:bCs w:val="false"/>
          <w:i w:val="false"/>
          <w:iCs w:val="false"/>
          <w:color w:val="2C2C2C"/>
          <w:sz w:val="18"/>
          <w:szCs w:val="18"/>
        </w:rPr>
        <w:t xml:space="preserve">別紙は毎年見直す。本文に円金額を埋め込まない。</w:t>
      </w:r>
    </w:p>
    <w:p>
      <w:pPr>
        <w:spacing w:after="80" w:before="0" w:line="276"/>
      </w:pPr>
      <w:r>
        <w:rPr>
          <w:rFonts w:ascii="Calibri" w:cs="Calibri" w:eastAsia="Calibri" w:hAnsi="Calibri"/>
          <w:b w:val="false"/>
          <w:bCs w:val="false"/>
          <w:i/>
          <w:iCs/>
          <w:color w:val="5C6570"/>
          <w:sz w:val="17"/>
          <w:szCs w:val="17"/>
        </w:rPr>
        <w:t xml:space="preserve">Put yen figures in the appendices, not in the body. Review appendices annually.</w:t>
      </w:r>
    </w:p>
    <w:p>
      <w:pPr>
        <w:pStyle w:val="Heading1"/>
        <w:pBdr>
          <w:bottom w:val="single" w:color="C45C26" w:sz="12" w:space="6"/>
        </w:pBdr>
        <w:spacing w:after="60" w:before="360"/>
      </w:pPr>
      <w:r>
        <w:rPr>
          <w:rFonts w:ascii="Yu Gothic" w:cs="Yu Gothic" w:eastAsia="Yu Gothic" w:hAnsi="Yu Gothic"/>
          <w:b/>
          <w:bCs/>
          <w:color w:val="1B3A4B"/>
          <w:sz w:val="28"/>
          <w:szCs w:val="28"/>
        </w:rPr>
        <w:t xml:space="preserve">2. 決めること（本メモ本体）</w:t>
      </w:r>
    </w:p>
    <w:p>
      <w:pPr>
        <w:spacing w:after="200" w:before="0"/>
      </w:pPr>
      <w:r>
        <w:rPr>
          <w:rFonts w:ascii="Calibri" w:cs="Calibri" w:eastAsia="Calibri" w:hAnsi="Calibri"/>
          <w:i/>
          <w:iCs/>
          <w:color w:val="5C6570"/>
          <w:sz w:val="18"/>
          <w:szCs w:val="18"/>
        </w:rPr>
        <w:t xml:space="preserve">2. Decisions to lock before drafting</w:t>
      </w:r>
    </w:p>
    <w:p>
      <w:pPr>
        <w:pStyle w:val="Heading2"/>
        <w:spacing w:after="40" w:before="280"/>
      </w:pPr>
      <w:r>
        <w:rPr>
          <w:rFonts w:ascii="Yu Gothic" w:cs="Yu Gothic" w:eastAsia="Yu Gothic" w:hAnsi="Yu Gothic"/>
          <w:b/>
          <w:bCs/>
          <w:color w:val="1B3A4B"/>
          <w:sz w:val="24"/>
          <w:szCs w:val="24"/>
        </w:rPr>
        <w:t xml:space="preserve">2.1 制度の目的</w:t>
      </w:r>
    </w:p>
    <w:p>
      <w:pPr>
        <w:spacing w:after="140" w:before="0"/>
      </w:pPr>
      <w:r>
        <w:rPr>
          <w:rFonts w:ascii="Calibri" w:cs="Calibri" w:eastAsia="Calibri" w:hAnsi="Calibri"/>
          <w:i/>
          <w:iCs/>
          <w:color w:val="5C6570"/>
          <w:sz w:val="17"/>
          <w:szCs w:val="17"/>
        </w:rPr>
        <w:t xml:space="preserve">2.1 Why the company provides housing</w:t>
      </w:r>
    </w:p>
    <w:p>
      <w:pPr>
        <w:spacing w:after="80" w:before="0" w:line="276"/>
      </w:pPr>
      <w:r>
        <w:rPr>
          <w:rFonts w:ascii="Yu Gothic" w:cs="Yu Gothic" w:eastAsia="Yu Gothic" w:hAnsi="Yu Gothic"/>
          <w:b w:val="false"/>
          <w:bCs w:val="false"/>
          <w:i w:val="false"/>
          <w:iCs w:val="false"/>
          <w:color w:val="2C2C2C"/>
          <w:sz w:val="19"/>
          <w:szCs w:val="19"/>
        </w:rPr>
        <w:t xml:space="preserve">目的が「福利厚生」だけだと、役員社宅・高額帯・学校圏指定の正当化が弱くなります。駐在では業務遂行（着任速度・家族の定着・コンプライアンス）を先に書く方が社内も税務も通りやすいです。</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選択肢</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内容</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自社の仮決め</w:t>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jc w:val="center"/>
            </w:pPr>
            <w:r>
              <w:rPr>
                <w:rFonts w:ascii="Yu Gothic" w:cs="Yu Gothic" w:eastAsia="Yu Gothic" w:hAnsi="Yu Gothic"/>
                <w:b/>
                <w:bCs/>
                <w:color w:val="2C2C2C"/>
                <w:sz w:val="18"/>
                <w:szCs w:val="18"/>
              </w:rPr>
              <w:t xml:space="preserve">A</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転勤・着任を滞りなく行うための業務用住居（主目的）＋福利厚生（従）</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jc w:val="center"/>
            </w:pPr>
            <w:r>
              <w:rPr>
                <w:rFonts w:ascii="Yu Gothic" w:cs="Yu Gothic" w:eastAsia="Yu Gothic" w:hAnsi="Yu Gothic"/>
                <w:b/>
                <w:bCs/>
                <w:color w:val="2C2C2C"/>
                <w:sz w:val="18"/>
                <w:szCs w:val="18"/>
              </w:rPr>
              <w:t xml:space="preserve">B</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福利厚生が主。住宅手当の代替。</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jc w:val="center"/>
            </w:pPr>
            <w:r>
              <w:rPr>
                <w:rFonts w:ascii="Yu Gothic" w:cs="Yu Gothic" w:eastAsia="Yu Gothic" w:hAnsi="Yu Gothic"/>
                <w:b/>
                <w:bCs/>
                <w:color w:val="2C2C2C"/>
                <w:sz w:val="18"/>
                <w:szCs w:val="18"/>
              </w:rPr>
              <w:t xml:space="preserve">C</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等級により分ける（役員・駐在員はA、ローカル社員はB）。</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bl>
    <w:p>
      <w:pPr>
        <w:spacing w:after="80" w:before="80" w:line="276"/>
      </w:pPr>
      <w:r>
        <w:rPr>
          <w:rFonts w:ascii="Calibri" w:cs="Calibri" w:eastAsia="Calibri" w:hAnsi="Calibri"/>
          <w:b w:val="false"/>
          <w:bCs w:val="false"/>
          <w:i/>
          <w:iCs/>
          <w:color w:val="5C6570"/>
          <w:sz w:val="17"/>
          <w:szCs w:val="17"/>
        </w:rPr>
        <w:t xml:space="preserve">Note: A cash housing allowance paid to an employee who signs a personal lease is generally treated as taxable salary in Japan. A properly structured company lease is a different regime.</w:t>
      </w:r>
    </w:p>
    <w:p>
      <w:pPr>
        <w:pStyle w:val="Heading2"/>
        <w:spacing w:after="40" w:before="280"/>
      </w:pPr>
      <w:r>
        <w:rPr>
          <w:rFonts w:ascii="Yu Gothic" w:cs="Yu Gothic" w:eastAsia="Yu Gothic" w:hAnsi="Yu Gothic"/>
          <w:b/>
          <w:bCs/>
          <w:color w:val="1B3A4B"/>
          <w:sz w:val="24"/>
          <w:szCs w:val="24"/>
        </w:rPr>
        <w:t xml:space="preserve">2.2 対象者</w:t>
      </w:r>
    </w:p>
    <w:p>
      <w:pPr>
        <w:spacing w:after="140" w:before="0"/>
      </w:pPr>
      <w:r>
        <w:rPr>
          <w:rFonts w:ascii="Calibri" w:cs="Calibri" w:eastAsia="Calibri" w:hAnsi="Calibri"/>
          <w:i/>
          <w:iCs/>
          <w:color w:val="5C6570"/>
          <w:sz w:val="17"/>
          <w:szCs w:val="17"/>
        </w:rPr>
        <w:t xml:space="preserve">2.2 Who is in scope</w:t>
      </w:r>
    </w:p>
    <w:p>
      <w:pPr>
        <w:spacing w:after="80" w:before="0" w:line="276"/>
      </w:pPr>
      <w:r>
        <w:rPr>
          <w:rFonts w:ascii="Yu Gothic" w:cs="Yu Gothic" w:eastAsia="Yu Gothic" w:hAnsi="Yu Gothic"/>
          <w:b w:val="false"/>
          <w:bCs w:val="false"/>
          <w:i w:val="false"/>
          <w:iCs w:val="false"/>
          <w:color w:val="2C2C2C"/>
          <w:sz w:val="19"/>
          <w:szCs w:val="19"/>
        </w:rPr>
        <w:t xml:space="preserve">一文で「社員」と書かない。駐在員・帯同家族・ローカル採用・役員は、上限も税も手続きも違います。</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区分</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入れるか</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メモ</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長期駐在員（12ヶ月超）</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原則対象 / Optional / 対象外</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コア</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短期出向（12ヶ月以内）</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サービスアパートのみ、も可</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帯同配偶者・子</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同居人の範囲を別条で固定</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日本採用の外国籍社員</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駐在パッケージと混ぜない</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役員・執行役員</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別規程または別表。税務が異なる</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派遣・業務委託</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原則対象外を推奨</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試用期間中</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原則対象外、または仮住まいのみ</w:t>
            </w:r>
          </w:p>
        </w:tc>
      </w:tr>
    </w:tbl>
    <w:p>
      <w:pPr>
        <w:pStyle w:val="Heading2"/>
        <w:spacing w:after="40" w:before="280"/>
      </w:pPr>
      <w:r>
        <w:rPr>
          <w:rFonts w:ascii="Yu Gothic" w:cs="Yu Gothic" w:eastAsia="Yu Gothic" w:hAnsi="Yu Gothic"/>
          <w:b/>
          <w:bCs/>
          <w:color w:val="1B3A4B"/>
          <w:sz w:val="24"/>
          <w:szCs w:val="24"/>
        </w:rPr>
        <w:t xml:space="preserve">2.3 契約名義</w:t>
      </w:r>
    </w:p>
    <w:p>
      <w:pPr>
        <w:spacing w:after="140" w:before="0"/>
      </w:pPr>
      <w:r>
        <w:rPr>
          <w:rFonts w:ascii="Calibri" w:cs="Calibri" w:eastAsia="Calibri" w:hAnsi="Calibri"/>
          <w:i/>
          <w:iCs/>
          <w:color w:val="5C6570"/>
          <w:sz w:val="17"/>
          <w:szCs w:val="17"/>
        </w:rPr>
        <w:t xml:space="preserve">2.3 Who signs the lease</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選択肢</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向くケース</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注意</w:t>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会社が借主（法人契約）</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審査・保証人・英語対応を会社が握りたい場合。推奨の基本形。</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入居者は使用許可を受ける側。転貸の整理が必要。</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本人が借主＋会社が費用負担</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例外処理になりやすい。</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現金補助扱いになり、給与課税されやすい。</w:t>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社宅代行の転貸</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戸数が多い、敷金をオフバランスしたい場合。</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TokyoExpatのデスク範囲外（家賃保管・転貸は行わない）。</w:t>
            </w:r>
          </w:p>
        </w:tc>
      </w:tr>
    </w:tbl>
    <w:p>
      <w:pPr>
        <w:spacing w:after="80" w:before="100" w:line="276"/>
      </w:pPr>
      <w:r>
        <w:rPr>
          <w:rFonts w:ascii="Yu Gothic" w:cs="Yu Gothic" w:eastAsia="Yu Gothic" w:hAnsi="Yu Gothic"/>
          <w:b w:val="false"/>
          <w:bCs w:val="false"/>
          <w:i w:val="false"/>
          <w:iCs w:val="false"/>
          <w:color w:val="2C2C2C"/>
          <w:sz w:val="19"/>
          <w:szCs w:val="19"/>
        </w:rPr>
        <w:t xml:space="preserve">推奨の書き方：原則は法人契約。例外は人事責任者の事前書面承認がある場合に限る。</w:t>
      </w:r>
    </w:p>
    <w:p>
      <w:pPr>
        <w:pStyle w:val="Heading2"/>
        <w:spacing w:after="40" w:before="280"/>
      </w:pPr>
      <w:r>
        <w:rPr>
          <w:rFonts w:ascii="Yu Gothic" w:cs="Yu Gothic" w:eastAsia="Yu Gothic" w:hAnsi="Yu Gothic"/>
          <w:b/>
          <w:bCs/>
          <w:color w:val="1B3A4B"/>
          <w:sz w:val="24"/>
          <w:szCs w:val="24"/>
        </w:rPr>
        <w:t xml:space="preserve">2.4 物件基準</w:t>
      </w:r>
    </w:p>
    <w:p>
      <w:pPr>
        <w:spacing w:after="140" w:before="0"/>
      </w:pPr>
      <w:r>
        <w:rPr>
          <w:rFonts w:ascii="Calibri" w:cs="Calibri" w:eastAsia="Calibri" w:hAnsi="Calibri"/>
          <w:i/>
          <w:iCs/>
          <w:color w:val="5C6570"/>
          <w:sz w:val="17"/>
          <w:szCs w:val="17"/>
        </w:rPr>
        <w:t xml:space="preserve">2.4 Property standards</w:t>
      </w:r>
    </w:p>
    <w:p>
      <w:pPr>
        <w:spacing w:after="80" w:before="0" w:line="276"/>
      </w:pPr>
      <w:r>
        <w:rPr>
          <w:rFonts w:ascii="Yu Gothic" w:cs="Yu Gothic" w:eastAsia="Yu Gothic" w:hAnsi="Yu Gothic"/>
          <w:b w:val="false"/>
          <w:bCs w:val="false"/>
          <w:i w:val="false"/>
          <w:iCs w:val="false"/>
          <w:color w:val="2C2C2C"/>
          <w:sz w:val="19"/>
          <w:szCs w:val="19"/>
        </w:rPr>
        <w:t xml:space="preserve">「良い物件」ではなく、承認できる条件を先に書く。内見の前にHRと本人の期待値を揃えます。</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項目</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決めること</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記入欄</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8"/>
                <w:szCs w:val="18"/>
              </w:rPr>
              <w:t xml:space="preserve">対象エリア</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区・駅・通勤分数・学校バス圏のどれで切るか</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8"/>
                <w:szCs w:val="18"/>
              </w:rPr>
              <w:t xml:space="preserve">最低面積</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単身 / 夫婦 / 家族＋1人あたり</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例：単身 40㎡、家族 80㎡</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8"/>
                <w:szCs w:val="18"/>
              </w:rPr>
              <w:t xml:space="preserve">建物</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築年、耐震、オートロック、英語管理の要否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8"/>
                <w:szCs w:val="18"/>
              </w:rPr>
              <w:t xml:space="preserve">設備</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エアコン全室、浴室乾燥、食洗機、家具付き可か</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8"/>
                <w:szCs w:val="18"/>
              </w:rPr>
              <w:t xml:space="preserve">不可</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木造アパート、1階路面、民泊実績物件 等</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8"/>
                <w:szCs w:val="18"/>
              </w:rPr>
              <w:t xml:space="preserve">ペット</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原則不可 / 物件が許せば可（追加費用は本人）</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8"/>
                <w:szCs w:val="18"/>
              </w:rPr>
              <w:t xml:space="preserve">駐車場</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必要世帯のみ別枠。上限を別表</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bl>
    <w:p>
      <w:pPr>
        <w:pStyle w:val="Heading2"/>
        <w:spacing w:after="40" w:before="280"/>
      </w:pPr>
      <w:r>
        <w:rPr>
          <w:rFonts w:ascii="Yu Gothic" w:cs="Yu Gothic" w:eastAsia="Yu Gothic" w:hAnsi="Yu Gothic"/>
          <w:b/>
          <w:bCs/>
          <w:color w:val="1B3A4B"/>
          <w:sz w:val="24"/>
          <w:szCs w:val="24"/>
        </w:rPr>
        <w:t xml:space="preserve">2.5 費用上限の切り方</w:t>
      </w:r>
    </w:p>
    <w:p>
      <w:pPr>
        <w:spacing w:after="140" w:before="0"/>
      </w:pPr>
      <w:r>
        <w:rPr>
          <w:rFonts w:ascii="Calibri" w:cs="Calibri" w:eastAsia="Calibri" w:hAnsi="Calibri"/>
          <w:i/>
          <w:iCs/>
          <w:color w:val="5C6570"/>
          <w:sz w:val="17"/>
          <w:szCs w:val="17"/>
        </w:rPr>
        <w:t xml:space="preserve">2.5 How to set the cap</w:t>
      </w:r>
    </w:p>
    <w:p>
      <w:pPr>
        <w:spacing w:after="80" w:before="0" w:line="276"/>
      </w:pPr>
      <w:r>
        <w:rPr>
          <w:rFonts w:ascii="Yu Gothic" w:cs="Yu Gothic" w:eastAsia="Yu Gothic" w:hAnsi="Yu Gothic"/>
          <w:b w:val="false"/>
          <w:bCs w:val="false"/>
          <w:i w:val="false"/>
          <w:iCs w:val="false"/>
          <w:color w:val="2C2C2C"/>
          <w:sz w:val="19"/>
          <w:szCs w:val="19"/>
        </w:rPr>
        <w:t xml:space="preserve">本文に「月額60万円まで」と書かない。別紙Aで等級×家族構成の表にする。市場が動いても本文を改正しなくて済みます。</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切り方</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利点</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欠点</w:t>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等級×家族人数の月額上限</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稟議が速い。本人にも説明しやすい。</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港区と世田谷で同じ上限だと不公平になり得る。</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エリア別バンド</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市場に近い。</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毎年改定が必要。</w:t>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本社パッケージのホスト国表</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グローバル一貫。</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日本の礼金・更新料と噛み合わないことが多い。</w:t>
            </w:r>
          </w:p>
        </w:tc>
      </w:tr>
    </w:tbl>
    <w:p>
      <w:pPr>
        <w:spacing w:after="80" w:before="140" w:line="276"/>
      </w:pPr>
      <w:r>
        <w:rPr>
          <w:rFonts w:ascii="Yu Gothic" w:cs="Yu Gothic" w:eastAsia="Yu Gothic" w:hAnsi="Yu Gothic"/>
          <w:b w:val="false"/>
          <w:bCs w:val="false"/>
          <w:i w:val="false"/>
          <w:iCs w:val="false"/>
          <w:color w:val="2C2C2C"/>
          <w:sz w:val="19"/>
          <w:szCs w:val="19"/>
        </w:rPr>
        <w:t xml:space="preserve">別紙Aの空表（数字は入れない）：</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1800"/>
        <w:gridCol w:w="2801"/>
        <w:gridCol w:w="2801"/>
        <w:gridCol w:w="2802"/>
      </w:tblGrid>
      <w:tr>
        <w:trPr>
          <w:tblHeader/>
        </w:trPr>
        <w:tc>
          <w:tcPr>
            <w:tcW w:type="dxa" w:w="18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家族構成</w:t>
            </w:r>
          </w:p>
        </w:tc>
        <w:tc>
          <w:tcPr>
            <w:tcW w:type="dxa" w:w="2801"/>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Band 1（専門職）</w:t>
            </w:r>
          </w:p>
        </w:tc>
        <w:tc>
          <w:tcPr>
            <w:tcW w:type="dxa" w:w="2801"/>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Band 2（部長級）</w:t>
            </w:r>
          </w:p>
        </w:tc>
        <w:tc>
          <w:tcPr>
            <w:tcW w:type="dxa" w:w="28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Band 3（役員）</w:t>
            </w:r>
          </w:p>
        </w:tc>
      </w:tr>
      <w:tr>
        <w:tc>
          <w:tcPr>
            <w:tcW w:type="dxa" w:w="18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単身</w:t>
            </w:r>
          </w:p>
        </w:tc>
        <w:tc>
          <w:tcPr>
            <w:tcW w:type="dxa" w:w="2801"/>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1"/>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r>
      <w:tr>
        <w:tc>
          <w:tcPr>
            <w:tcW w:type="dxa" w:w="18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夫婦</w:t>
            </w:r>
          </w:p>
        </w:tc>
        <w:tc>
          <w:tcPr>
            <w:tcW w:type="dxa" w:w="2801"/>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1"/>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r>
      <w:tr>
        <w:tc>
          <w:tcPr>
            <w:tcW w:type="dxa" w:w="18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家族（子1）</w:t>
            </w:r>
          </w:p>
        </w:tc>
        <w:tc>
          <w:tcPr>
            <w:tcW w:type="dxa" w:w="2801"/>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1"/>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r>
      <w:tr>
        <w:tc>
          <w:tcPr>
            <w:tcW w:type="dxa" w:w="18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家族（子2+）</w:t>
            </w:r>
          </w:p>
        </w:tc>
        <w:tc>
          <w:tcPr>
            <w:tcW w:type="dxa" w:w="2801"/>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1"/>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c>
          <w:tcPr>
            <w:tcW w:type="dxa" w:w="28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 — /月</w:t>
            </w:r>
          </w:p>
        </w:tc>
      </w:tr>
    </w:tbl>
    <w:p>
      <w:pPr>
        <w:spacing w:after="80" w:before="80" w:line="276"/>
      </w:pPr>
      <w:r>
        <w:rPr>
          <w:rFonts w:ascii="Yu Gothic" w:cs="Yu Gothic" w:eastAsia="Yu Gothic" w:hAnsi="Yu Gothic"/>
          <w:b w:val="false"/>
          <w:bCs w:val="false"/>
          <w:i w:val="false"/>
          <w:iCs w:val="false"/>
          <w:color w:val="2C2C2C"/>
          <w:sz w:val="18"/>
          <w:szCs w:val="18"/>
        </w:rPr>
        <w:t xml:space="preserve">上限の定義を一文で固定する：共益費を含むか、駐車場を含むか、家具付き割増を含むか。</w:t>
      </w:r>
    </w:p>
    <w:p>
      <w:pPr>
        <w:pStyle w:val="Heading2"/>
        <w:spacing w:after="40" w:before="280"/>
      </w:pPr>
      <w:r>
        <w:rPr>
          <w:rFonts w:ascii="Yu Gothic" w:cs="Yu Gothic" w:eastAsia="Yu Gothic" w:hAnsi="Yu Gothic"/>
          <w:b/>
          <w:bCs/>
          <w:color w:val="1B3A4B"/>
          <w:sz w:val="24"/>
          <w:szCs w:val="24"/>
        </w:rPr>
        <w:t xml:space="preserve">2.6 誰が何を払うか</w:t>
      </w:r>
    </w:p>
    <w:p>
      <w:pPr>
        <w:spacing w:after="140" w:before="0"/>
      </w:pPr>
      <w:r>
        <w:rPr>
          <w:rFonts w:ascii="Calibri" w:cs="Calibri" w:eastAsia="Calibri" w:hAnsi="Calibri"/>
          <w:i/>
          <w:iCs/>
          <w:color w:val="5C6570"/>
          <w:sz w:val="17"/>
          <w:szCs w:val="17"/>
        </w:rPr>
        <w:t xml:space="preserve">2.6 Who pays what</w:t>
      </w:r>
    </w:p>
    <w:p>
      <w:pPr>
        <w:spacing w:after="80" w:before="0" w:line="276"/>
      </w:pPr>
      <w:r>
        <w:rPr>
          <w:rFonts w:ascii="Yu Gothic" w:cs="Yu Gothic" w:eastAsia="Yu Gothic" w:hAnsi="Yu Gothic"/>
          <w:b w:val="false"/>
          <w:bCs w:val="false"/>
          <w:i w:val="false"/>
          <w:iCs w:val="false"/>
          <w:color w:val="2C2C2C"/>
          <w:sz w:val="19"/>
          <w:szCs w:val="19"/>
        </w:rPr>
        <w:t xml:space="preserve">ここが一番揉める。別紙Bとして独立させる。</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費目</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会社 / 本人 / 折半 / 案件ごと</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備考</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月額賃料</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上限内は会社、超過は本人</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共益費・管理費</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賃料と一体で上限判定するのが実務的</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敷金（保証金）</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会社。解約時の返還も会社口座</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礼金</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日本特有。本社説明用に一文用意</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仲介手数料</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法人契約では会社負担が一般的</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保証会社利用料</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法人契約で免除されることも多い</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火災保険</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貸主指定なら会社、任意上乗せは本人</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鍵交換・消毒など初期</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貸主指定は会社、希望追加は本人</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更新料</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2年ごと。上限内なら会社</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更新事務手数料</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引越（着任）</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重量と区間の上限を別途</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引越（帰任）</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自己都合退職は本人、が定番</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ライフライン初期</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本人。英語業者リストは会社が渡す</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家具家電レンタル</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短期のみ会社、長期は本人 等</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原状回復（通常損耗）</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原則会社（法人契約の帰結）</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原状回復（過失・特約超過）</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本人</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途中解約の違約金</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会社   ☐ 本人   ☐ 折半   ☐ 都度</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会社都合／本人都合で分ける</w:t>
            </w:r>
          </w:p>
        </w:tc>
      </w:tr>
    </w:tbl>
    <w:p>
      <w:pPr>
        <w:pStyle w:val="Heading2"/>
        <w:spacing w:after="40" w:before="280"/>
      </w:pPr>
      <w:r>
        <w:rPr>
          <w:rFonts w:ascii="Yu Gothic" w:cs="Yu Gothic" w:eastAsia="Yu Gothic" w:hAnsi="Yu Gothic"/>
          <w:b/>
          <w:bCs/>
          <w:color w:val="1B3A4B"/>
          <w:sz w:val="24"/>
          <w:szCs w:val="24"/>
        </w:rPr>
        <w:t xml:space="preserve">2.7 本人負担（社宅使用料）</w:t>
      </w:r>
    </w:p>
    <w:p>
      <w:pPr>
        <w:spacing w:after="140" w:before="0"/>
      </w:pPr>
      <w:r>
        <w:rPr>
          <w:rFonts w:ascii="Calibri" w:cs="Calibri" w:eastAsia="Calibri" w:hAnsi="Calibri"/>
          <w:i/>
          <w:iCs/>
          <w:color w:val="5C6570"/>
          <w:sz w:val="17"/>
          <w:szCs w:val="17"/>
        </w:rPr>
        <w:t xml:space="preserve">2.7 Occupant contribution — do not invent a percentage here</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10204"/>
      </w:tblGrid>
      <w:tr>
        <w:tc>
          <w:tcPr>
            <w:tcW w:type="dxa" w:w="10204"/>
            <w:tcBorders>
              <w:top w:val="single" w:color="C45C26" w:sz="8"/>
              <w:left w:val="single" w:color="C45C26" w:sz="16"/>
              <w:bottom w:val="single" w:color="D6D1C7" w:sz="4"/>
              <w:right w:val="single" w:color="D6D1C7" w:sz="4"/>
            </w:tcBorders>
            <w:shd w:fill="F7F3EE" w:val="clear"/>
            <w:tcMar>
              <w:top w:type="dxa" w:w="100"/>
              <w:left w:type="dxa" w:w="140"/>
              <w:bottom w:type="dxa" w:w="100"/>
              <w:right w:type="dxa" w:w="140"/>
            </w:tcMar>
          </w:tcPr>
          <w:p>
            <w:pPr>
              <w:spacing w:after="40" w:before="0" w:line="276"/>
            </w:pPr>
            <w:r>
              <w:rPr>
                <w:rFonts w:ascii="Yu Gothic" w:cs="Yu Gothic" w:eastAsia="Yu Gothic" w:hAnsi="Yu Gothic"/>
                <w:b w:val="false"/>
                <w:bCs w:val="false"/>
                <w:i w:val="false"/>
                <w:iCs w:val="false"/>
                <w:color w:val="2C2C2C"/>
                <w:sz w:val="18"/>
                <w:szCs w:val="18"/>
              </w:rPr>
              <w:t xml:space="preserve">本文に「家賃の10%」「家賃の50%」と固定しない。日本の非課税ラインは実際家賃ではなく、国税庁の賃貸料相当額を基準にする。従業員と役員で算式が違い、豪華社宅は別扱い。数字は顧問税理士が別紙で年1回見直す、とだけ書く。</w:t>
            </w:r>
          </w:p>
          <w:p>
            <w:pPr>
              <w:spacing w:after="0" w:before="0" w:line="276"/>
            </w:pPr>
            <w:r>
              <w:rPr>
                <w:rFonts w:ascii="Calibri" w:cs="Calibri" w:eastAsia="Calibri" w:hAnsi="Calibri"/>
                <w:b w:val="false"/>
                <w:bCs w:val="false"/>
                <w:i/>
                <w:iCs/>
                <w:color w:val="5C6570"/>
                <w:sz w:val="17"/>
                <w:szCs w:val="17"/>
              </w:rPr>
              <w:t xml:space="preserve">Do not hard-code “10% of rent” or “50% of rent” in the policy body. Japan’s non-taxable threshold is not half of the market rent; it is a statutory “rental-equivalent” calculated from assessed values and floor area, with different tests for employees and officers. Put the method in an appendix maintained by the tax adviser.</w:t>
            </w:r>
          </w:p>
        </w:tc>
      </w:tr>
    </w:tbl>
    <w:p>
      <w:pPr>
        <w:spacing w:after="80" w:before="140" w:line="276"/>
      </w:pPr>
      <w:r>
        <w:rPr>
          <w:rFonts w:ascii="Yu Gothic" w:cs="Yu Gothic" w:eastAsia="Yu Gothic" w:hAnsi="Yu Gothic"/>
          <w:b w:val="false"/>
          <w:bCs w:val="false"/>
          <w:i w:val="false"/>
          <w:iCs w:val="false"/>
          <w:color w:val="2C2C2C"/>
          <w:sz w:val="19"/>
          <w:szCs w:val="19"/>
        </w:rPr>
        <w:t xml:space="preserve">規程本文に書いてよい範囲：</w:t>
      </w:r>
    </w:p>
    <w:p>
      <w:pPr>
        <w:spacing w:after="80" w:before="0" w:line="276"/>
        <w:ind w:left="200"/>
      </w:pPr>
      <w:r>
        <w:rPr>
          <w:rFonts w:ascii="Yu Gothic" w:cs="Yu Gothic" w:eastAsia="Yu Gothic" w:hAnsi="Yu Gothic"/>
          <w:b w:val="false"/>
          <w:bCs w:val="false"/>
          <w:i w:val="false"/>
          <w:iCs w:val="false"/>
          <w:color w:val="2C2C2C"/>
          <w:sz w:val="19"/>
          <w:szCs w:val="19"/>
        </w:rPr>
        <w:t xml:space="preserve">1. 入居者は毎月、会社が定める社宅使用料を給与控除で支払う。</w:t>
      </w:r>
    </w:p>
    <w:p>
      <w:pPr>
        <w:spacing w:after="80" w:before="0" w:line="276"/>
        <w:ind w:left="200"/>
      </w:pPr>
      <w:r>
        <w:rPr>
          <w:rFonts w:ascii="Yu Gothic" w:cs="Yu Gothic" w:eastAsia="Yu Gothic" w:hAnsi="Yu Gothic"/>
          <w:b w:val="false"/>
          <w:bCs w:val="false"/>
          <w:i w:val="false"/>
          <w:iCs w:val="false"/>
          <w:color w:val="2C2C2C"/>
          <w:sz w:val="19"/>
          <w:szCs w:val="19"/>
        </w:rPr>
        <w:t xml:space="preserve">2. 使用料は税務上必要な最低額を下回らないよう、税務顧問が算定する。</w:t>
      </w:r>
    </w:p>
    <w:p>
      <w:pPr>
        <w:spacing w:after="80" w:before="0" w:line="276"/>
        <w:ind w:left="200"/>
      </w:pPr>
      <w:r>
        <w:rPr>
          <w:rFonts w:ascii="Yu Gothic" w:cs="Yu Gothic" w:eastAsia="Yu Gothic" w:hAnsi="Yu Gothic"/>
          <w:b w:val="false"/>
          <w:bCs w:val="false"/>
          <w:i w:val="false"/>
          <w:iCs w:val="false"/>
          <w:color w:val="2C2C2C"/>
          <w:sz w:val="19"/>
          <w:szCs w:val="19"/>
        </w:rPr>
        <w:t xml:space="preserve">3. 役員と従業員で算定方法が異なる場合がある。</w:t>
      </w:r>
    </w:p>
    <w:p>
      <w:pPr>
        <w:spacing w:after="80" w:before="0" w:line="276"/>
        <w:ind w:left="200"/>
      </w:pPr>
      <w:r>
        <w:rPr>
          <w:rFonts w:ascii="Yu Gothic" w:cs="Yu Gothic" w:eastAsia="Yu Gothic" w:hAnsi="Yu Gothic"/>
          <w:b w:val="false"/>
          <w:bCs w:val="false"/>
          <w:i w:val="false"/>
          <w:iCs w:val="false"/>
          <w:color w:val="2C2C2C"/>
          <w:sz w:val="19"/>
          <w:szCs w:val="19"/>
        </w:rPr>
        <w:t xml:space="preserve">4. 無償貸与は原則しない。</w:t>
      </w:r>
    </w:p>
    <w:p>
      <w:pPr>
        <w:pStyle w:val="Heading2"/>
        <w:spacing w:after="40" w:before="280"/>
      </w:pPr>
      <w:r>
        <w:rPr>
          <w:rFonts w:ascii="Yu Gothic" w:cs="Yu Gothic" w:eastAsia="Yu Gothic" w:hAnsi="Yu Gothic"/>
          <w:b/>
          <w:bCs/>
          <w:color w:val="1B3A4B"/>
          <w:sz w:val="24"/>
          <w:szCs w:val="24"/>
        </w:rPr>
        <w:t xml:space="preserve">2.8 着任前後の短期滞在</w:t>
      </w:r>
    </w:p>
    <w:p>
      <w:pPr>
        <w:spacing w:after="140" w:before="0"/>
      </w:pPr>
      <w:r>
        <w:rPr>
          <w:rFonts w:ascii="Calibri" w:cs="Calibri" w:eastAsia="Calibri" w:hAnsi="Calibri"/>
          <w:i/>
          <w:iCs/>
          <w:color w:val="5C6570"/>
          <w:sz w:val="17"/>
          <w:szCs w:val="17"/>
        </w:rPr>
        <w:t xml:space="preserve">2.8 Temporary housing</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項目</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選択肢</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仮決め</w:t>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期間</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着任前 ☐ 日 ＋ 着任後 ☐ 日（合計上限 ☐ 日）</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延長</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人事責任者の事前承認。1回 ☐ 日まで。</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種別</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サービスアパート / ホテル / どちらも可</w:t>
            </w:r>
          </w:p>
        </w:tc>
        <w:tc>
          <w:tcPr>
            <w:tcW w:type="dxa" w:w="39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本契約との重複</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鍵渡し後 ☐ 泊まで。それ以降は本人。</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
            </w:r>
          </w:p>
        </w:tc>
      </w:tr>
    </w:tbl>
    <w:p>
      <w:pPr>
        <w:pStyle w:val="Heading2"/>
        <w:spacing w:after="40" w:before="280"/>
      </w:pPr>
      <w:r>
        <w:rPr>
          <w:rFonts w:ascii="Yu Gothic" w:cs="Yu Gothic" w:eastAsia="Yu Gothic" w:hAnsi="Yu Gothic"/>
          <w:b/>
          <w:bCs/>
          <w:color w:val="1B3A4B"/>
          <w:sz w:val="24"/>
          <w:szCs w:val="24"/>
        </w:rPr>
        <w:t xml:space="preserve">2.9 承認権限と期限</w:t>
      </w:r>
    </w:p>
    <w:p>
      <w:pPr>
        <w:spacing w:after="140" w:before="0"/>
      </w:pPr>
      <w:r>
        <w:rPr>
          <w:rFonts w:ascii="Calibri" w:cs="Calibri" w:eastAsia="Calibri" w:hAnsi="Calibri"/>
          <w:i/>
          <w:iCs/>
          <w:color w:val="5C6570"/>
          <w:sz w:val="17"/>
          <w:szCs w:val="17"/>
        </w:rPr>
        <w:t xml:space="preserve">2.9 Authority and SLA</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行為</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承認者</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期限（例）</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条件の確定（エリア・上限・入居日）</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HR + 直属</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依頼から 2 営業日</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ショートリスト提示</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社宅窓口（社内 or 外部デスク）</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条件確定から 2〜3 営業日</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上限超過・例外エリア</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日本法人の人事責任者</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内見前</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契約条件の最終承認</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HR</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申込前</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更新／転居</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HR</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満了 90 日前までに意思</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会社都合の途中解約</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HR + 財務</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Calibri" w:cs="Calibri" w:eastAsia="Calibri" w:hAnsi="Calibri"/>
                <w:color w:val="2C2C2C"/>
                <w:sz w:val="18"/>
                <w:szCs w:val="18"/>
              </w:rPr>
              <w:t xml:space="preserve">貸主への解約予告に間に合う日</w:t>
            </w:r>
          </w:p>
        </w:tc>
      </w:tr>
    </w:tbl>
    <w:p>
      <w:pPr>
        <w:pStyle w:val="Heading2"/>
        <w:spacing w:after="40" w:before="280"/>
      </w:pPr>
      <w:r>
        <w:rPr>
          <w:rFonts w:ascii="Yu Gothic" w:cs="Yu Gothic" w:eastAsia="Yu Gothic" w:hAnsi="Yu Gothic"/>
          <w:b/>
          <w:bCs/>
          <w:color w:val="1B3A4B"/>
          <w:sz w:val="24"/>
          <w:szCs w:val="24"/>
        </w:rPr>
        <w:t xml:space="preserve">2.10 禁止事項と退去</w:t>
      </w:r>
    </w:p>
    <w:p>
      <w:pPr>
        <w:spacing w:after="140" w:before="0"/>
      </w:pPr>
      <w:r>
        <w:rPr>
          <w:rFonts w:ascii="Calibri" w:cs="Calibri" w:eastAsia="Calibri" w:hAnsi="Calibri"/>
          <w:i/>
          <w:iCs/>
          <w:color w:val="5C6570"/>
          <w:sz w:val="17"/>
          <w:szCs w:val="17"/>
        </w:rPr>
        <w:t xml:space="preserve">2.10 Prohibitions and exit</w:t>
      </w:r>
    </w:p>
    <w:p>
      <w:pPr>
        <w:spacing w:after="80" w:before="0" w:line="276"/>
      </w:pPr>
      <w:r>
        <w:rPr>
          <w:rFonts w:ascii="Yu Gothic" w:cs="Yu Gothic" w:eastAsia="Yu Gothic" w:hAnsi="Yu Gothic"/>
          <w:b w:val="false"/>
          <w:bCs w:val="false"/>
          <w:i w:val="false"/>
          <w:iCs w:val="false"/>
          <w:color w:val="2C2C2C"/>
          <w:sz w:val="19"/>
          <w:szCs w:val="19"/>
        </w:rPr>
        <w:t xml:space="preserve">最低限、次を本文に残す。</w:t>
      </w:r>
    </w:p>
    <w:p>
      <w:pPr>
        <w:spacing w:after="80" w:before="0" w:line="276"/>
      </w:pPr>
      <w:r>
        <w:rPr>
          <w:rFonts w:ascii="Yu Gothic" w:cs="Yu Gothic" w:eastAsia="Yu Gothic" w:hAnsi="Yu Gothic"/>
          <w:b w:val="false"/>
          <w:bCs w:val="false"/>
          <w:i w:val="false"/>
          <w:iCs w:val="false"/>
          <w:color w:val="2C2C2C"/>
          <w:sz w:val="19"/>
          <w:szCs w:val="19"/>
        </w:rPr>
        <w:t xml:space="preserve">転貸・又貸し、無断同居、民泊・シェア、ペット（許可物件以外）、改造、貸主への直接交渉（窓口を通さない）、自己都合退職後の居座り。</w:t>
      </w:r>
    </w:p>
    <w:p>
      <w:pPr>
        <w:spacing w:after="80" w:before="0" w:line="276"/>
      </w:pPr>
      <w:r>
        <w:rPr>
          <w:rFonts w:ascii="Yu Gothic" w:cs="Yu Gothic" w:eastAsia="Yu Gothic" w:hAnsi="Yu Gothic"/>
          <w:b w:val="false"/>
          <w:bCs w:val="false"/>
          <w:i w:val="false"/>
          <w:iCs w:val="false"/>
          <w:color w:val="2C2C2C"/>
          <w:sz w:val="19"/>
          <w:szCs w:val="19"/>
        </w:rPr>
        <w:t xml:space="preserve">帰任・解雇・自己都合で、解約予告の起算と原状回復の負担を表にする。ここが曖昧な規程は、ほぼ例外処理になります。</w:t>
      </w:r>
    </w:p>
    <w:p>
      <w:pPr>
        <w:pStyle w:val="Heading1"/>
        <w:pBdr>
          <w:bottom w:val="single" w:color="C45C26" w:sz="12" w:space="6"/>
        </w:pBdr>
        <w:spacing w:after="60" w:before="360"/>
      </w:pPr>
      <w:r>
        <w:rPr>
          <w:rFonts w:ascii="Yu Gothic" w:cs="Yu Gothic" w:eastAsia="Yu Gothic" w:hAnsi="Yu Gothic"/>
          <w:b/>
          <w:bCs/>
          <w:color w:val="1B3A4B"/>
          <w:sz w:val="28"/>
          <w:szCs w:val="28"/>
        </w:rPr>
        <w:t xml:space="preserve">3. 注釈付き骨格（条文に落とすとき）</w:t>
      </w:r>
    </w:p>
    <w:p>
      <w:pPr>
        <w:spacing w:after="200" w:before="0"/>
      </w:pPr>
      <w:r>
        <w:rPr>
          <w:rFonts w:ascii="Calibri" w:cs="Calibri" w:eastAsia="Calibri" w:hAnsi="Calibri"/>
          <w:i/>
          <w:iCs/>
          <w:color w:val="5C6570"/>
          <w:sz w:val="18"/>
          <w:szCs w:val="18"/>
        </w:rPr>
        <w:t xml:space="preserve">3. Annotated skeleton — articles only, no numbers</w:t>
      </w:r>
    </w:p>
    <w:p>
      <w:pPr>
        <w:spacing w:after="80" w:before="0" w:line="276"/>
      </w:pPr>
      <w:r>
        <w:rPr>
          <w:rFonts w:ascii="Yu Gothic" w:cs="Yu Gothic" w:eastAsia="Yu Gothic" w:hAnsi="Yu Gothic"/>
          <w:b w:val="false"/>
          <w:bCs w:val="false"/>
          <w:i w:val="false"/>
          <w:iCs w:val="false"/>
          <w:color w:val="2C2C2C"/>
          <w:sz w:val="20"/>
          <w:szCs w:val="20"/>
        </w:rPr>
        <w:t xml:space="preserve">各条は日英で同じ番号。金額は別紙参照に逃がす。</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条</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見出し / 書いてよい範囲</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書いてはいけないこと</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1 目的</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着任の円滑化と居住の提供。福利厚生は従。</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節税が目的、とは書かない</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2 定義</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借上社宅、入居者、同居人、上限家賃、短期滞在。</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一般用語の再定義のしすぎ</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3 対象</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2.2の表を条文に。例外は「会社が特に認めたとき」。</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「社員は誰でも」</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4 契約</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会社が貸主から借り、入居者に使用させる。</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転貸の法律構成を素人判断で書かない</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5 基準</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別紙Aの範囲内。学校圏は条件にできる。</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特定建物名の固定</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6 費用</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別紙B参照、の一文で足りる。</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費目ごとの円金額</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7 使用料</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税務顧問が算定、給与控除、無償にしない。</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○％と計算式</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8 申請</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申請書・誓約書・入居日。承認前に内見申込しない。</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9 義務</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用法遵守、連絡、保険、鍵、点検協力。</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10 禁止</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転貸、民泊、無断同居、改造。</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11 期間</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赴任期間に連動。更新は承認制。</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自動永久更新</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12 解除</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会社都合／本人都合／規程違反。予告日数。</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13 原状</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通常損耗は会社、過失は本人。</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「現状有姿で返還」だけ</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14 個人情報</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家族情報の利用目的と保管。</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b/>
                <w:bCs/>
                <w:color w:val="2C2C2C"/>
                <w:sz w:val="16"/>
                <w:szCs w:val="16"/>
              </w:rPr>
              <w:t xml:space="preserve">15 改廃</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改正日、経過措置、別紙の改定権限。</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6"/>
                <w:szCs w:val="16"/>
              </w:rPr>
              <w:t xml:space="preserve"/>
            </w:r>
          </w:p>
        </w:tc>
      </w:tr>
    </w:tbl>
    <w:p>
      <w:pPr>
        <w:pStyle w:val="Heading1"/>
        <w:pBdr>
          <w:bottom w:val="single" w:color="C45C26" w:sz="12" w:space="6"/>
        </w:pBdr>
        <w:spacing w:after="60" w:before="360"/>
      </w:pPr>
      <w:r>
        <w:rPr>
          <w:rFonts w:ascii="Yu Gothic" w:cs="Yu Gothic" w:eastAsia="Yu Gothic" w:hAnsi="Yu Gothic"/>
          <w:b/>
          <w:bCs/>
          <w:color w:val="1B3A4B"/>
          <w:sz w:val="28"/>
          <w:szCs w:val="28"/>
        </w:rPr>
        <w:t xml:space="preserve">4. 同時に配る付属書</w:t>
      </w:r>
    </w:p>
    <w:p>
      <w:pPr>
        <w:spacing w:after="200" w:before="0"/>
      </w:pPr>
      <w:r>
        <w:rPr>
          <w:rFonts w:ascii="Calibri" w:cs="Calibri" w:eastAsia="Calibri" w:hAnsi="Calibri"/>
          <w:i/>
          <w:iCs/>
          <w:color w:val="5C6570"/>
          <w:sz w:val="18"/>
          <w:szCs w:val="18"/>
        </w:rPr>
        <w:t xml:space="preserve">4. Companion pack — more useful than the regulation itself</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2400"/>
        <w:gridCol w:w="3902"/>
        <w:gridCol w:w="3902"/>
      </w:tblGrid>
      <w:tr>
        <w:trPr>
          <w:tblHeader/>
        </w:trPr>
        <w:tc>
          <w:tcPr>
            <w:tcW w:type="dxa" w:w="2400"/>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文書</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誰が使うか</w:t>
            </w:r>
          </w:p>
        </w:tc>
        <w:tc>
          <w:tcPr>
            <w:tcW w:type="dxa" w:w="39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一枚で書くこと</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入居申請書（日英）</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本人 → HR</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着任日、家族、学校、ペット、予算</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HR承認チェック</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HR</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対象該当、上限、名義、例外の有無</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費用負担表（別紙B）</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本人と本社</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2.6の表</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着任90日カレンダー</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本人</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内見→審査→契約→鍵→住民登録</w:t>
            </w:r>
          </w:p>
        </w:tc>
      </w:tr>
      <w:tr>
        <w:tc>
          <w:tcPr>
            <w:tcW w:type="dxa" w:w="2400"/>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禁止事項の一枚物</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本人</w:t>
            </w:r>
          </w:p>
        </w:tc>
        <w:tc>
          <w:tcPr>
            <w:tcW w:type="dxa" w:w="3902"/>
            <w:tcBorders>
              <w:top w:val="single" w:color="D6D1C7" w:sz="4"/>
              <w:left w:val="single" w:color="D6D1C7" w:sz="4"/>
              <w:bottom w:val="single" w:color="D6D1C7" w:sz="4"/>
              <w:right w:val="single" w:color="D6D1C7" w:sz="4"/>
            </w:tcBorders>
            <w:shd w:fill="FFFFFF"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転貸・民泊・無断同居</w:t>
            </w:r>
          </w:p>
        </w:tc>
      </w:tr>
      <w:tr>
        <w:tc>
          <w:tcPr>
            <w:tcW w:type="dxa" w:w="2400"/>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退去チェック</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本人 + HR</w:t>
            </w:r>
          </w:p>
        </w:tc>
        <w:tc>
          <w:tcPr>
            <w:tcW w:type="dxa" w:w="39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解約予告日、立会、精算</w:t>
            </w:r>
          </w:p>
        </w:tc>
      </w:tr>
    </w:tbl>
    <w:p>
      <w:pPr>
        <w:pStyle w:val="Heading1"/>
        <w:pBdr>
          <w:bottom w:val="single" w:color="C45C26" w:sz="12" w:space="6"/>
        </w:pBdr>
        <w:spacing w:after="60" w:before="360"/>
      </w:pPr>
      <w:r>
        <w:rPr>
          <w:rFonts w:ascii="Yu Gothic" w:cs="Yu Gothic" w:eastAsia="Yu Gothic" w:hAnsi="Yu Gothic"/>
          <w:b/>
          <w:bCs/>
          <w:color w:val="1B3A4B"/>
          <w:sz w:val="28"/>
          <w:szCs w:val="28"/>
        </w:rPr>
        <w:t xml:space="preserve">5. このメモが意図的に決めないこと</w:t>
      </w:r>
    </w:p>
    <w:p>
      <w:pPr>
        <w:spacing w:after="200" w:before="0"/>
      </w:pPr>
      <w:r>
        <w:rPr>
          <w:rFonts w:ascii="Calibri" w:cs="Calibri" w:eastAsia="Calibri" w:hAnsi="Calibri"/>
          <w:i/>
          <w:iCs/>
          <w:color w:val="5C6570"/>
          <w:sz w:val="18"/>
          <w:szCs w:val="18"/>
        </w:rPr>
        <w:t xml:space="preserve">5. What this memo refuses to decide</w:t>
      </w:r>
    </w:p>
    <w:p>
      <w:pPr>
        <w:spacing w:after="80" w:before="0" w:line="276"/>
      </w:pPr>
      <w:r>
        <w:rPr>
          <w:rFonts w:ascii="Yu Gothic" w:cs="Yu Gothic" w:eastAsia="Yu Gothic" w:hAnsi="Yu Gothic"/>
          <w:b w:val="false"/>
          <w:bCs w:val="false"/>
          <w:i w:val="false"/>
          <w:iCs w:val="false"/>
          <w:color w:val="2C2C2C"/>
          <w:sz w:val="19"/>
          <w:szCs w:val="19"/>
        </w:rPr>
        <w:t xml:space="preserve">次は顧問の領域です。サイト公開用の雛形にも数字を入れない。</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5102"/>
        <w:gridCol w:w="5102"/>
      </w:tblGrid>
      <w:tr>
        <w:trPr>
          <w:tblHeader/>
        </w:trPr>
        <w:tc>
          <w:tcPr>
            <w:tcW w:type="dxa" w:w="51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Yu Gothic" w:cs="Yu Gothic" w:eastAsia="Yu Gothic" w:hAnsi="Yu Gothic"/>
                <w:b/>
                <w:bCs/>
                <w:color w:val="FFFFFF"/>
                <w:sz w:val="17"/>
                <w:szCs w:val="17"/>
              </w:rPr>
              <w:t xml:space="preserve">項目</w:t>
            </w:r>
          </w:p>
        </w:tc>
        <w:tc>
          <w:tcPr>
            <w:tcW w:type="dxa" w:w="5102"/>
            <w:tcBorders>
              <w:top w:val="single" w:color="D6D1C7" w:sz="4"/>
              <w:left w:val="single" w:color="D6D1C7" w:sz="4"/>
              <w:bottom w:val="single" w:color="D6D1C7" w:sz="4"/>
              <w:right w:val="single" w:color="D6D1C7" w:sz="4"/>
            </w:tcBorders>
            <w:shd w:fill="1B3A4B" w:val="clear"/>
            <w:tcMar>
              <w:top w:type="dxa" w:w="60"/>
              <w:left w:type="dxa" w:w="80"/>
              <w:bottom w:type="dxa" w:w="60"/>
              <w:right w:type="dxa" w:w="80"/>
            </w:tcMar>
            <w:vAlign w:val="center"/>
          </w:tcPr>
          <w:p>
            <w:pPr>
              <w:spacing w:after="0"/>
            </w:pPr>
            <w:r>
              <w:rPr>
                <w:rFonts w:ascii="Calibri" w:cs="Calibri" w:eastAsia="Calibri" w:hAnsi="Calibri"/>
                <w:b/>
                <w:bCs/>
                <w:color w:val="FFFFFF"/>
                <w:sz w:val="17"/>
                <w:szCs w:val="17"/>
              </w:rPr>
              <w:t xml:space="preserve">理由</w:t>
            </w:r>
          </w:p>
        </w:tc>
      </w:tr>
      <w:tr>
        <w:tc>
          <w:tcPr>
            <w:tcW w:type="dxa" w:w="51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賃貸料相当額の算式と記入例</w:t>
            </w:r>
          </w:p>
        </w:tc>
        <w:tc>
          <w:tcPr>
            <w:tcW w:type="dxa" w:w="51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従業員・役員・豪華社宅で異なる。誤った％がコピーされると源泉漏れになる。</w:t>
            </w:r>
          </w:p>
        </w:tc>
      </w:tr>
      <w:tr>
        <w:tc>
          <w:tcPr>
            <w:tcW w:type="dxa" w:w="51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社会保険上の報酬への算入</w:t>
            </w:r>
          </w:p>
        </w:tc>
        <w:tc>
          <w:tcPr>
            <w:tcW w:type="dxa" w:w="51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給与課税と社保は一致しないことがある。</w:t>
            </w:r>
          </w:p>
        </w:tc>
      </w:tr>
      <w:tr>
        <w:tc>
          <w:tcPr>
            <w:tcW w:type="dxa" w:w="51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就業規則との優劣、労働組合協議</w:t>
            </w:r>
          </w:p>
        </w:tc>
        <w:tc>
          <w:tcPr>
            <w:tcW w:type="dxa" w:w="51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会社規模と既存規程による。</w:t>
            </w:r>
          </w:p>
        </w:tc>
      </w:tr>
      <w:tr>
        <w:tc>
          <w:tcPr>
            <w:tcW w:type="dxa" w:w="51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転貸（サブリース）の契約構成</w:t>
            </w:r>
          </w:p>
        </w:tc>
        <w:tc>
          <w:tcPr>
            <w:tcW w:type="dxa" w:w="5102"/>
            <w:tcBorders>
              <w:top w:val="single" w:color="D6D1C7" w:sz="4"/>
              <w:left w:val="single" w:color="D6D1C7" w:sz="4"/>
              <w:bottom w:val="single" w:color="D6D1C7" w:sz="4"/>
              <w:right w:val="single" w:color="D6D1C7" w:sz="4"/>
            </w:tcBorders>
            <w:shd w:fill="F4F1EC" w:val="clear"/>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宅建・管理業の登録と保証が必要になり得る。</w:t>
            </w:r>
          </w:p>
        </w:tc>
      </w:tr>
      <w:tr>
        <w:tc>
          <w:tcPr>
            <w:tcW w:type="dxa" w:w="51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特定の建物・管理会社の指定</w:t>
            </w:r>
          </w:p>
        </w:tc>
        <w:tc>
          <w:tcPr>
            <w:tcW w:type="dxa" w:w="5102"/>
            <w:tcBorders>
              <w:top w:val="single" w:color="D6D1C7" w:sz="4"/>
              <w:left w:val="single" w:color="D6D1C7" w:sz="4"/>
              <w:bottom w:val="single" w:color="D6D1C7" w:sz="4"/>
              <w:right w:val="single" w:color="D6D1C7" w:sz="4"/>
            </w:tcBorders>
            <w:tcMar>
              <w:top w:type="dxa" w:w="60"/>
              <w:left w:type="dxa" w:w="80"/>
              <w:bottom w:type="dxa" w:w="60"/>
              <w:right w:type="dxa" w:w="80"/>
            </w:tcMar>
            <w:vAlign w:val="center"/>
          </w:tcPr>
          <w:p>
            <w:pPr>
              <w:spacing w:after="0"/>
            </w:pPr>
            <w:r>
              <w:rPr>
                <w:rFonts w:ascii="Yu Gothic" w:cs="Yu Gothic" w:eastAsia="Yu Gothic" w:hAnsi="Yu Gothic"/>
                <w:color w:val="2C2C2C"/>
                <w:sz w:val="18"/>
                <w:szCs w:val="18"/>
              </w:rPr>
              <w:t xml:space="preserve">独立助言の立場と衝突する。</w:t>
            </w:r>
          </w:p>
        </w:tc>
      </w:tr>
    </w:tbl>
    <w:p>
      <w:pPr>
        <w:pStyle w:val="Heading1"/>
        <w:pBdr>
          <w:bottom w:val="single" w:color="C45C26" w:sz="12" w:space="6"/>
        </w:pBdr>
        <w:spacing w:after="60" w:before="360"/>
      </w:pPr>
      <w:r>
        <w:rPr>
          <w:rFonts w:ascii="Yu Gothic" w:cs="Yu Gothic" w:eastAsia="Yu Gothic" w:hAnsi="Yu Gothic"/>
          <w:b/>
          <w:bCs/>
          <w:color w:val="1B3A4B"/>
          <w:sz w:val="28"/>
          <w:szCs w:val="28"/>
        </w:rPr>
        <w:t xml:space="preserve">6. 次のステップ</w:t>
      </w:r>
    </w:p>
    <w:p>
      <w:pPr>
        <w:spacing w:after="200" w:before="0"/>
      </w:pPr>
      <w:r>
        <w:rPr>
          <w:rFonts w:ascii="Calibri" w:cs="Calibri" w:eastAsia="Calibri" w:hAnsi="Calibri"/>
          <w:i/>
          <w:iCs/>
          <w:color w:val="5C6570"/>
          <w:sz w:val="18"/>
          <w:szCs w:val="18"/>
        </w:rPr>
        <w:t xml:space="preserve">6. Next step after this memo</w:t>
      </w:r>
    </w:p>
    <w:p>
      <w:pPr>
        <w:spacing w:after="80" w:before="0" w:line="276"/>
      </w:pPr>
      <w:r>
        <w:rPr>
          <w:rFonts w:ascii="Yu Gothic" w:cs="Yu Gothic" w:eastAsia="Yu Gothic" w:hAnsi="Yu Gothic"/>
          <w:b w:val="false"/>
          <w:bCs w:val="false"/>
          <w:i w:val="false"/>
          <w:iCs w:val="false"/>
          <w:color w:val="2C2C2C"/>
          <w:sz w:val="20"/>
          <w:szCs w:val="20"/>
        </w:rPr>
        <w:t xml:space="preserve">1. 2章の仮決めを埋める（所要：人事と財務で60〜90分）。</w:t>
      </w:r>
    </w:p>
    <w:p>
      <w:pPr>
        <w:spacing w:after="80" w:before="0" w:line="276"/>
      </w:pPr>
      <w:r>
        <w:rPr>
          <w:rFonts w:ascii="Yu Gothic" w:cs="Yu Gothic" w:eastAsia="Yu Gothic" w:hAnsi="Yu Gothic"/>
          <w:b w:val="false"/>
          <w:bCs w:val="false"/>
          <w:i w:val="false"/>
          <w:iCs w:val="false"/>
          <w:color w:val="2C2C2C"/>
          <w:sz w:val="20"/>
          <w:szCs w:val="20"/>
        </w:rPr>
        <w:t xml:space="preserve">2. 別紙Aの上限だけ市場に合わせて仮置きする。</w:t>
      </w:r>
    </w:p>
    <w:p>
      <w:pPr>
        <w:spacing w:after="80" w:before="0" w:line="276"/>
      </w:pPr>
      <w:r>
        <w:rPr>
          <w:rFonts w:ascii="Yu Gothic" w:cs="Yu Gothic" w:eastAsia="Yu Gothic" w:hAnsi="Yu Gothic"/>
          <w:b w:val="false"/>
          <w:bCs w:val="false"/>
          <w:i w:val="false"/>
          <w:iCs w:val="false"/>
          <w:color w:val="2C2C2C"/>
          <w:sz w:val="20"/>
          <w:szCs w:val="20"/>
        </w:rPr>
        <w:t xml:space="preserve">3. 税務顧問に「使用料の算定方法」だけ依頼する。</w:t>
      </w:r>
    </w:p>
    <w:p>
      <w:pPr>
        <w:spacing w:after="80" w:before="0" w:line="276"/>
      </w:pPr>
      <w:r>
        <w:rPr>
          <w:rFonts w:ascii="Yu Gothic" w:cs="Yu Gothic" w:eastAsia="Yu Gothic" w:hAnsi="Yu Gothic"/>
          <w:b w:val="false"/>
          <w:bCs w:val="false"/>
          <w:i w:val="false"/>
          <w:iCs w:val="false"/>
          <w:color w:val="2C2C2C"/>
          <w:sz w:val="20"/>
          <w:szCs w:val="20"/>
        </w:rPr>
        <w:t xml:space="preserve">4. 骨格を日英の本文に落とす（または TokyoExpat の規程レビューに渡す）。</w:t>
      </w:r>
    </w:p>
    <w:p>
      <w:pPr>
        <w:spacing w:after="200" w:before="0" w:line="276"/>
      </w:pPr>
      <w:r>
        <w:rPr>
          <w:rFonts w:ascii="Yu Gothic" w:cs="Yu Gothic" w:eastAsia="Yu Gothic" w:hAnsi="Yu Gothic"/>
          <w:b w:val="false"/>
          <w:bCs w:val="false"/>
          <w:i w:val="false"/>
          <w:iCs w:val="false"/>
          <w:color w:val="2C2C2C"/>
          <w:sz w:val="20"/>
          <w:szCs w:val="20"/>
        </w:rPr>
        <w:t xml:space="preserve">5. 付属の申請書とカレンダーを先に運用する。本文より現場が動く。</w:t>
      </w:r>
    </w:p>
    <w:tbl>
      <w:tblPr>
        <w:tblW w:type="dxa" w:w="10204"/>
        <w:tblBorders>
          <w:top w:val="single" w:color="auto" w:sz="4"/>
          <w:left w:val="single" w:color="auto" w:sz="4"/>
          <w:bottom w:val="single" w:color="auto" w:sz="4"/>
          <w:right w:val="single" w:color="auto" w:sz="4"/>
          <w:insideH w:val="single" w:color="auto" w:sz="4"/>
          <w:insideV w:val="single" w:color="auto" w:sz="4"/>
        </w:tblBorders>
      </w:tblPr>
      <w:tblGrid>
        <w:gridCol w:w="10204"/>
      </w:tblGrid>
      <w:tr>
        <w:tc>
          <w:tcPr>
            <w:tcW w:type="dxa" w:w="10204"/>
            <w:tcBorders>
              <w:top w:val="single" w:color="C45C26" w:sz="8"/>
              <w:left w:val="single" w:color="C45C26" w:sz="16"/>
              <w:bottom w:val="single" w:color="D6D1C7" w:sz="4"/>
              <w:right w:val="single" w:color="D6D1C7" w:sz="4"/>
            </w:tcBorders>
            <w:shd w:fill="F7F3EE" w:val="clear"/>
            <w:tcMar>
              <w:top w:type="dxa" w:w="100"/>
              <w:left w:type="dxa" w:w="140"/>
              <w:bottom w:type="dxa" w:w="100"/>
              <w:right w:type="dxa" w:w="140"/>
            </w:tcMar>
          </w:tcPr>
          <w:p>
            <w:pPr>
              <w:spacing w:after="40" w:before="0" w:line="276"/>
            </w:pPr>
            <w:r>
              <w:rPr>
                <w:rFonts w:ascii="Yu Gothic" w:cs="Yu Gothic" w:eastAsia="Yu Gothic" w:hAnsi="Yu Gothic"/>
                <w:b w:val="false"/>
                <w:bCs w:val="false"/>
                <w:i w:val="false"/>
                <w:iCs w:val="false"/>
                <w:color w:val="2C2C2C"/>
                <w:sz w:val="18"/>
                <w:szCs w:val="18"/>
              </w:rPr>
              <w:t xml:space="preserve">TokyoExpat は家賃の受領、敷金の保管、転貸、建物管理を行いません。本メモは、会社が自社の借上社宅制度を設計するための討議資料です。個別の物件探索・契約交渉・条項説明は別サービスです。</w:t>
            </w:r>
          </w:p>
          <w:p>
            <w:pPr>
              <w:spacing w:after="0" w:before="0" w:line="276"/>
            </w:pPr>
            <w:r>
              <w:rPr>
                <w:rFonts w:ascii="Calibri" w:cs="Calibri" w:eastAsia="Calibri" w:hAnsi="Calibri"/>
                <w:b w:val="false"/>
                <w:bCs w:val="false"/>
                <w:i/>
                <w:iCs/>
                <w:color w:val="5C6570"/>
                <w:sz w:val="17"/>
                <w:szCs w:val="17"/>
              </w:rPr>
              <w:t xml:space="preserve">TokyoExpat does not collect rent, hold deposits, sublease, or manage buildings. This memo is a discussion paper for companies designing their own leased-housing programme. Property search, negotiation and lease explanation are a separate engagement.</w:t>
            </w:r>
          </w:p>
        </w:tc>
      </w:tr>
    </w:tbl>
    <w:p>
      <w:pPr>
        <w:spacing w:after="0" w:before="280" w:line="276"/>
      </w:pPr>
      <w:r>
        <w:rPr>
          <w:rFonts w:ascii="Calibri" w:cs="Calibri" w:eastAsia="Calibri" w:hAnsi="Calibri"/>
          <w:b w:val="false"/>
          <w:bCs w:val="false"/>
          <w:i/>
          <w:iCs/>
          <w:color w:val="5C6570"/>
          <w:sz w:val="16"/>
          <w:szCs w:val="16"/>
        </w:rPr>
        <w:t xml:space="preserve">Prepared as a working draft for TokyoExpat corporate clients  ·  Edo Partners K.K.  ·  September 2026</w:t>
      </w:r>
    </w:p>
    <w:sectPr>
      <w:headerReference w:type="default" r:id="rId7"/>
      <w:footerReference w:type="default" r:id="rId8"/>
      <w:pgSz w:w="11906" w:h="16838" w:orient="portrait"/>
      <w:pgMar w:top="851" w:right="851" w:bottom="90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6D1C7" w:sz="6" w:space="8"/>
      </w:pBdr>
      <w:spacing w:before="80"/>
    </w:pPr>
    <w:r>
      <w:rPr>
        <w:rFonts w:ascii="Calibri" w:cs="Calibri" w:eastAsia="Calibri" w:hAnsi="Calibri"/>
        <w:color w:val="5C6570"/>
        <w:sz w:val="14"/>
        <w:szCs w:val="14"/>
      </w:rPr>
      <w:t xml:space="preserve">Working outline  ·  Not legal, tax or labour advice  ·  </w:t>
    </w:r>
    <w:r>
      <w:rPr>
        <w:rFonts w:ascii="Calibri" w:cs="Calibri" w:eastAsia="Calibri" w:hAnsi="Calibri"/>
        <w:color w:val="1B3A4B"/>
        <w:sz w:val="14"/>
        <w:szCs w:val="14"/>
      </w:rPr>
      <w:t xml:space="preserve">tokyoexpat.tokyo</w:t>
    </w:r>
    <w:r>
      <w:rPr>
        <w:rFonts w:ascii="Calibri" w:cs="Calibri" w:eastAsia="Calibri" w:hAnsi="Calibri"/>
        <w:sz w:val="14"/>
        <w:szCs w:val="14"/>
      </w:rPr>
      <w:t xml:space="preserve">     </w:t>
    </w:r>
    <w:r>
      <w:rPr>
        <w:rFonts w:ascii="Calibri" w:cs="Calibri" w:eastAsia="Calibri" w:hAnsi="Calibri"/>
        <w:color w:val="5C657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2600"/>
      <w:gridCol w:w="6000"/>
    </w:tblGrid>
    <w:tr>
      <w:tc>
        <w:tcPr>
          <w:tcW w:w="2600" w:type="dxa"/>
          <w:vAlign w:val="center"/>
        </w:tcPr>
        <w:p>
          <w:pPr>
            <w:spacing w:after="0" w:line="240" w:lineRule="auto"/>
          </w:pPr>
          <w:r>
            <w:rPr>
              <w:noProof/>
            </w:rPr>
            <w:drawing>
              <wp:inline xmlns:wp="http://schemas.openxmlformats.org/drawingml/2006/wordprocessingDrawing" distT="0" distB="0" distL="0" distR="0">
                <wp:extent cx="1250415" cy="128421"/>
                <wp:effectExtent l="0" t="0" r="0" b="0"/>
                <wp:docPr id="2" name="TokyoExpat Fu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full.png"/>
                        <pic:cNvPicPr/>
                      </pic:nvPicPr>
                      <pic:blipFill>
                        <a:blip r:embed="rId1"/>
                        <a:stretch>
                          <a:fillRect/>
                        </a:stretch>
                      </pic:blipFill>
                      <pic:spPr>
                        <a:xfrm>
                          <a:off x="0" y="0"/>
                          <a:ext cx="1250415" cy="128421"/>
                        </a:xfrm>
                        <a:prstGeom prst="rect">
                          <a:avLst/>
                        </a:prstGeom>
                      </pic:spPr>
                    </pic:pic>
                  </a:graphicData>
                </a:graphic>
              </wp:inline>
            </w:drawing>
          </w:r>
        </w:p>
      </w:tc>
      <w:tc>
        <w:tcPr>
          <w:tcW w:w="6000" w:type="dxa"/>
          <w:vAlign w:val="center"/>
        </w:tcPr>
        <w:p>
          <w:pPr>
            <w:spacing w:after="0" w:line="240" w:lineRule="auto"/>
          </w:pPr>
          <w:r>
            <w:rPr>
              <w:rFonts w:ascii="Calibri" w:cs="Calibri" w:eastAsia="Calibri" w:hAnsi="Calibri"/>
              <w:color w:val="5C6570"/>
              <w:sz w:val="15"/>
              <w:szCs w:val="15"/>
            </w:rPr>
            <w:t xml:space="preserve">Corporate Housing Policy — Decision Memo  </w:t>
          </w:r>
          <w:r>
            <w:rPr>
              <w:rFonts w:ascii="Calibri" w:cs="Calibri" w:eastAsia="Calibri" w:hAnsi="Calibri"/>
              <w:color w:val="5C6570"/>
              <w:sz w:val="15"/>
              <w:szCs w:val="15"/>
            </w:rPr>
            <w:t xml:space="preserve">v0.1  ·  2026-09</w:t>
          </w:r>
        </w:p>
      </w:tc>
    </w:tr>
  </w:tbl>
  <w:p>
    <w:pPr>
      <w:pBdr>
        <w:top w:val="single" w:color="1B3A4B" w:sz="8" w:space="1"/>
      </w:pBdr>
      <w:spacing w:before="4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360"/>
      </w:pPr>
    </w:lvl>
  </w:abstractNum>
  <w:abstractNum w:abstractNumId="3" w15:restartNumberingAfterBreak="0">
    <w:multiLevelType w:val="hybridMultilevel"/>
    <w:lvl w:ilvl="0" w15:tentative="1">
      <w:start w:val="1"/>
      <w:numFmt w:val="bullet"/>
      <w:lvlText w:val="☐"/>
      <w:lvlJc w:val="left"/>
      <w:pPr>
        <w:ind w:left="420" w:hanging="3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60" w:before="360"/>
      <w:outlineLvl w:val="0"/>
    </w:pPr>
    <w:rPr>
      <w:rFonts w:ascii="Yu Gothic" w:cs="Yu Gothic" w:eastAsia="Yu Gothic" w:hAnsi="Yu Gothic"/>
      <w:b/>
      <w:bCs/>
      <w:color w:val="1B3A4B"/>
      <w:sz w:val="28"/>
      <w:szCs w:val="28"/>
    </w:rPr>
  </w:style>
  <w:style w:type="paragraph" w:styleId="Heading2">
    <w:name w:val="Heading 2"/>
    <w:basedOn w:val="Normal"/>
    <w:next w:val="Normal"/>
    <w:qFormat/>
    <w:pPr>
      <w:spacing w:after="40" w:before="280"/>
      <w:outlineLvl w:val="1"/>
    </w:pPr>
    <w:rPr>
      <w:rFonts w:ascii="Yu Gothic" w:cs="Yu Gothic" w:eastAsia="Yu Gothic" w:hAnsi="Yu Gothic"/>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 standalone="yes"?><Relationships xmlns="http://schemas.openxmlformats.org/package/2006/relationships"><Relationship Id="rId1" Type="http://schemas.openxmlformats.org/officeDocument/2006/relationships/image" Target="media/logo_full.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2026-09-02T23:52:46.673Z</dcterms:created>
  <dcterms:modified xsi:type="dcterms:W3CDTF">2026-09-02T23:52:46.674Z</dcterms:modified>
</cp:coreProperties>
</file>

<file path=docProps/custom.xml><?xml version="1.0" encoding="utf-8"?>
<Properties xmlns="http://schemas.openxmlformats.org/officeDocument/2006/custom-properties" xmlns:vt="http://schemas.openxmlformats.org/officeDocument/2006/docPropsVTypes"/>
</file>